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1077BB7D" w14:textId="2E7BE241" w:rsidR="005969C2" w:rsidRPr="00320B91" w:rsidRDefault="005969C2" w:rsidP="00E406F8">
      <w:pPr>
        <w:spacing w:line="240" w:lineRule="auto"/>
        <w:jc w:val="both"/>
        <w:rPr>
          <w:rFonts w:ascii="Work Sans" w:eastAsia="Work Sans" w:hAnsi="Work Sans" w:cs="Work Sans"/>
          <w:sz w:val="24"/>
          <w:szCs w:val="24"/>
        </w:rPr>
      </w:pPr>
      <w:r w:rsidRPr="00320B91">
        <w:rPr>
          <w:rFonts w:ascii="Work Sans" w:eastAsia="Work Sans" w:hAnsi="Work Sans" w:cs="Work Sans"/>
          <w:sz w:val="24"/>
          <w:szCs w:val="24"/>
        </w:rPr>
        <w:t>Estimad</w:t>
      </w:r>
      <w:r w:rsidR="00B96A8F">
        <w:rPr>
          <w:rFonts w:ascii="Work Sans" w:eastAsia="Work Sans" w:hAnsi="Work Sans" w:cs="Work Sans"/>
          <w:sz w:val="24"/>
          <w:szCs w:val="24"/>
        </w:rPr>
        <w:t>o Director.</w:t>
      </w:r>
    </w:p>
    <w:p w14:paraId="5C605771" w14:textId="77777777" w:rsidR="005969C2" w:rsidRPr="00320B91" w:rsidRDefault="005969C2" w:rsidP="002A2C00">
      <w:pPr>
        <w:spacing w:line="240" w:lineRule="auto"/>
        <w:jc w:val="both"/>
        <w:rPr>
          <w:rFonts w:ascii="Work Sans" w:eastAsia="Work Sans" w:hAnsi="Work Sans" w:cs="Work Sans"/>
          <w:sz w:val="24"/>
          <w:szCs w:val="24"/>
        </w:rPr>
      </w:pPr>
      <w:r w:rsidRPr="00320B91">
        <w:rPr>
          <w:rFonts w:ascii="Work Sans" w:eastAsia="Work Sans" w:hAnsi="Work Sans" w:cs="Work Sans"/>
          <w:sz w:val="24"/>
          <w:szCs w:val="24"/>
        </w:rPr>
        <w:t>Reciba un cordial saludo.</w:t>
      </w:r>
    </w:p>
    <w:p w14:paraId="7330F2B2" w14:textId="77777777" w:rsidR="00CE41F6" w:rsidRDefault="002A2C00" w:rsidP="0042067A">
      <w:pPr>
        <w:jc w:val="both"/>
        <w:rPr>
          <w:rFonts w:ascii="Work Sans" w:hAnsi="Work Sans"/>
          <w:sz w:val="24"/>
          <w:szCs w:val="24"/>
        </w:rPr>
      </w:pPr>
      <w:r w:rsidRPr="00320B91">
        <w:rPr>
          <w:rFonts w:ascii="Work Sans" w:eastAsia="Work Sans" w:hAnsi="Work Sans" w:cs="Work Sans"/>
          <w:sz w:val="24"/>
          <w:szCs w:val="24"/>
        </w:rPr>
        <w:t>En el marco del</w:t>
      </w:r>
      <w:r w:rsidRPr="00320B91">
        <w:rPr>
          <w:rFonts w:ascii="Work Sans" w:hAnsi="Work Sans" w:cs="Arial"/>
          <w:sz w:val="24"/>
          <w:szCs w:val="24"/>
        </w:rPr>
        <w:t xml:space="preserve"> </w:t>
      </w:r>
      <w:r w:rsidR="00B61F0F">
        <w:rPr>
          <w:rFonts w:ascii="Work Sans" w:hAnsi="Work Sans" w:cs="Arial"/>
          <w:sz w:val="24"/>
          <w:szCs w:val="24"/>
        </w:rPr>
        <w:t>C</w:t>
      </w:r>
      <w:r w:rsidRPr="00320B91">
        <w:rPr>
          <w:rFonts w:ascii="Work Sans" w:hAnsi="Work Sans" w:cs="Arial"/>
          <w:sz w:val="24"/>
          <w:szCs w:val="24"/>
        </w:rPr>
        <w:t>onvenio </w:t>
      </w:r>
      <w:r w:rsidR="00B61F0F">
        <w:rPr>
          <w:rFonts w:ascii="Work Sans" w:hAnsi="Work Sans" w:cs="Arial"/>
          <w:sz w:val="24"/>
          <w:szCs w:val="24"/>
        </w:rPr>
        <w:t xml:space="preserve">Interadministrativo </w:t>
      </w:r>
      <w:r w:rsidR="00B96A8F" w:rsidRPr="00193AC8">
        <w:rPr>
          <w:rFonts w:ascii="Work Sans" w:hAnsi="Work Sans"/>
          <w:sz w:val="24"/>
          <w:szCs w:val="24"/>
        </w:rPr>
        <w:t>No. 116231-38</w:t>
      </w:r>
      <w:r w:rsidR="00B74DE2">
        <w:rPr>
          <w:rFonts w:ascii="Work Sans" w:hAnsi="Work Sans"/>
          <w:sz w:val="24"/>
          <w:szCs w:val="24"/>
        </w:rPr>
        <w:t>9</w:t>
      </w:r>
      <w:r w:rsidR="00B96A8F" w:rsidRPr="00193AC8">
        <w:rPr>
          <w:rFonts w:ascii="Work Sans" w:hAnsi="Work Sans"/>
          <w:sz w:val="24"/>
          <w:szCs w:val="24"/>
        </w:rPr>
        <w:t>-2025 / GGC-2151-2025 suscrito entre el CONSORCIO PAC FENOGE 2023, COMO VOCERO Y ADMINISTRADOR DEL PATRIMONIO AUTÓNOMO DENOMINADO FIDEICOMISO FENOGE, y EL MINISTERIO DE MINAS Y ENERGÍA cuyo objeto es:</w:t>
      </w:r>
      <w:r w:rsidR="0042067A">
        <w:rPr>
          <w:rFonts w:ascii="Work Sans" w:hAnsi="Work Sans"/>
          <w:sz w:val="24"/>
          <w:szCs w:val="24"/>
        </w:rPr>
        <w:t xml:space="preserve"> </w:t>
      </w:r>
    </w:p>
    <w:p w14:paraId="1E0BE9A2" w14:textId="6AF279A1" w:rsidR="00B96A8F" w:rsidRPr="0042067A" w:rsidRDefault="00B96A8F" w:rsidP="00CE41F6">
      <w:pPr>
        <w:ind w:left="708"/>
        <w:jc w:val="both"/>
        <w:rPr>
          <w:rFonts w:ascii="Work Sans" w:hAnsi="Work Sans"/>
          <w:sz w:val="24"/>
          <w:szCs w:val="24"/>
        </w:rPr>
      </w:pPr>
      <w:r w:rsidRPr="00193AC8">
        <w:rPr>
          <w:rFonts w:ascii="Work Sans" w:hAnsi="Work Sans"/>
          <w:i/>
          <w:iCs/>
          <w:sz w:val="24"/>
          <w:szCs w:val="24"/>
        </w:rPr>
        <w:t xml:space="preserve">“Aunar esfuerzos y capacidades técnicas, operativas, financieras y administrativas de las PARTES para implementar Sistemas Solares Fotovoltaicos - SSFV y realizar adecuaciones de redes eléctricas internas cuando se requiera, en Instituciones Educativas Públicas a nivel nacional, así como garantizar su operación y sostenibilidad en el marco de la </w:t>
      </w:r>
      <w:proofErr w:type="spellStart"/>
      <w:r w:rsidRPr="00193AC8">
        <w:rPr>
          <w:rFonts w:ascii="Work Sans" w:hAnsi="Work Sans"/>
          <w:i/>
          <w:iCs/>
          <w:sz w:val="24"/>
          <w:szCs w:val="24"/>
        </w:rPr>
        <w:t>AFPEl</w:t>
      </w:r>
      <w:proofErr w:type="spellEnd"/>
      <w:r w:rsidRPr="00193AC8">
        <w:rPr>
          <w:rFonts w:ascii="Work Sans" w:hAnsi="Work Sans"/>
          <w:i/>
          <w:iCs/>
          <w:sz w:val="24"/>
          <w:szCs w:val="24"/>
        </w:rPr>
        <w:t xml:space="preserve"> "Comunidades Energéticas Educativas: Energía que ilumina el futuro" del Fondo de Energías No Convencionales y Gestión Eficiente de la Energía-FENOGE”.</w:t>
      </w:r>
    </w:p>
    <w:p w14:paraId="07CA7675" w14:textId="57FA7A02" w:rsidR="00703E5F" w:rsidRDefault="0042067A" w:rsidP="00B96A8F">
      <w:pPr>
        <w:tabs>
          <w:tab w:val="left" w:pos="708"/>
        </w:tabs>
        <w:spacing w:after="160"/>
        <w:jc w:val="both"/>
        <w:rPr>
          <w:rFonts w:ascii="Work Sans" w:eastAsia="Calibri" w:hAnsi="Work Sans" w:cs="Arial"/>
          <w:sz w:val="24"/>
          <w:szCs w:val="24"/>
        </w:rPr>
      </w:pPr>
      <w:r>
        <w:rPr>
          <w:rFonts w:ascii="Work Sans" w:eastAsia="Calibri" w:hAnsi="Work Sans" w:cs="Arial"/>
          <w:sz w:val="24"/>
          <w:szCs w:val="24"/>
        </w:rPr>
        <w:t xml:space="preserve">Las partes acordaron entre otras obligaciones, las siguientes: </w:t>
      </w:r>
    </w:p>
    <w:p w14:paraId="5AF18156" w14:textId="2E8A1F53" w:rsidR="00172254" w:rsidRPr="00172254" w:rsidRDefault="00172254" w:rsidP="00B96A8F">
      <w:pPr>
        <w:tabs>
          <w:tab w:val="left" w:pos="708"/>
        </w:tabs>
        <w:spacing w:after="160"/>
        <w:jc w:val="both"/>
        <w:rPr>
          <w:rFonts w:ascii="Work Sans" w:eastAsia="Calibri" w:hAnsi="Work Sans" w:cs="Arial"/>
        </w:rPr>
      </w:pPr>
      <w:r w:rsidRPr="00172254">
        <w:rPr>
          <w:rFonts w:ascii="Work Sans" w:eastAsia="Calibri" w:hAnsi="Work Sans" w:cs="Arial"/>
        </w:rPr>
        <w:t xml:space="preserve">“(…) </w:t>
      </w:r>
    </w:p>
    <w:p w14:paraId="193FFBFB" w14:textId="60497D73"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t>4.2. FORMA DE DESEMBOLSO DE LOS APORTES DEL MINISTERIO: El MINISTERIO realizará el aporte de sus recursos, de acuerdo con lo siguiente:</w:t>
      </w:r>
    </w:p>
    <w:p w14:paraId="4A8494CC" w14:textId="0A2C4513"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lastRenderedPageBreak/>
        <w:t>El MINISTERIO realizará un único desembolso por el 100% del valor del aporte, en los plazos establecidos en esta cláusula, sin perjuicio de lo anterior, el aporte que se genere en virtud del CONVENIO estará sujeto a la programación y aprobación del Programa Anual Mensualizado de Caja - PAC y a la situación efectiva de los recursos por parte de la Dirección General de Crédito Público y Tesoro Nacional del Ministerio de Hacienda y Crédito Público.</w:t>
      </w:r>
    </w:p>
    <w:p w14:paraId="5B4D2F46" w14:textId="77777777"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t>1) El desembolso se realizará una vez FENOGE efectué la entrega total y material de un informe que deberá contener lo descrito en el numeral 10.2 Productos y se encuentre debidamente aprobado por las partes, y previa comunicación escrita del supervisor designado por FENOGE.</w:t>
      </w:r>
    </w:p>
    <w:p w14:paraId="37BF3186" w14:textId="73CFD5AE"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t>2) Una vez el MINISTERIO cuente con la programación y aprobación del Programa Anual Mensualizado de Caja - PAC y a la situación efectiva de los recursos por parte de la Dirección General de Crédito Público y Tesoro Nacional del Ministerio de Hacienda y Crédito Público, respecto al valor a aportar en el presente CONVENIO, se efectuará el desembolso previa comunicación escrita del supervisor designado por FENOGE, donde informe la cuenta bancaria del Patrimonio Autónomo Fideicomiso FENOGE que haya sido aperturada para la administración de estos recursos.</w:t>
      </w:r>
    </w:p>
    <w:p w14:paraId="519972D0" w14:textId="5223400C"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t xml:space="preserve">Los aportes realizados por el MINISTERIO se </w:t>
      </w:r>
      <w:r w:rsidR="00484458" w:rsidRPr="00172254">
        <w:rPr>
          <w:rFonts w:ascii="Work Sans" w:eastAsia="Calibri" w:hAnsi="Work Sans" w:cs="Arial"/>
          <w:i/>
          <w:iCs/>
        </w:rPr>
        <w:t>administrarán</w:t>
      </w:r>
      <w:r w:rsidRPr="00172254">
        <w:rPr>
          <w:rFonts w:ascii="Work Sans" w:eastAsia="Calibri" w:hAnsi="Work Sans" w:cs="Arial"/>
          <w:i/>
          <w:iCs/>
        </w:rPr>
        <w:t xml:space="preserve"> en una cuenta de ahorros independiente y podrán ser invertidos en otros instrumentos financieros diferentes a la cuenta de ahorros, de conformidad con lo establecido en el Reglamento Operativo y Financiero del Patrimonio Autónomo Fideicomiso FENOGE, siempre y cuando la ejecución de </w:t>
      </w:r>
      <w:proofErr w:type="gramStart"/>
      <w:r w:rsidRPr="00172254">
        <w:rPr>
          <w:rFonts w:ascii="Work Sans" w:eastAsia="Calibri" w:hAnsi="Work Sans" w:cs="Arial"/>
          <w:i/>
          <w:iCs/>
        </w:rPr>
        <w:t>los mismos</w:t>
      </w:r>
      <w:proofErr w:type="gramEnd"/>
      <w:r w:rsidRPr="00172254">
        <w:rPr>
          <w:rFonts w:ascii="Work Sans" w:eastAsia="Calibri" w:hAnsi="Work Sans" w:cs="Arial"/>
          <w:i/>
          <w:iCs/>
        </w:rPr>
        <w:t xml:space="preserve"> se destine exclusivamente al pago de obligaciones contraídas en ejecución de este CONVENIO.</w:t>
      </w:r>
    </w:p>
    <w:p w14:paraId="3CF6A0C3" w14:textId="0BA9C982" w:rsidR="00172254" w:rsidRPr="00172254" w:rsidRDefault="00172254" w:rsidP="00172254">
      <w:pPr>
        <w:tabs>
          <w:tab w:val="left" w:pos="708"/>
        </w:tabs>
        <w:spacing w:after="160"/>
        <w:ind w:left="708"/>
        <w:jc w:val="both"/>
        <w:rPr>
          <w:rFonts w:ascii="Work Sans" w:eastAsia="Calibri" w:hAnsi="Work Sans" w:cs="Arial"/>
          <w:i/>
          <w:iCs/>
        </w:rPr>
      </w:pPr>
      <w:r w:rsidRPr="00172254">
        <w:rPr>
          <w:rFonts w:ascii="Work Sans" w:eastAsia="Calibri" w:hAnsi="Work Sans" w:cs="Arial"/>
          <w:i/>
          <w:iCs/>
        </w:rPr>
        <w:t>4) Para la recepción de los recursos se observarán los requisitos establecidos en el Reglamento Operativo y Financiero del Patrimonio Autónomo Fideicomiso FENOGE.</w:t>
      </w:r>
    </w:p>
    <w:p w14:paraId="7D8355D6" w14:textId="12F99BE8" w:rsidR="00B96A8F" w:rsidRPr="00493075" w:rsidRDefault="00703E5F" w:rsidP="00172254">
      <w:pPr>
        <w:tabs>
          <w:tab w:val="left" w:pos="708"/>
        </w:tabs>
        <w:spacing w:after="160"/>
        <w:jc w:val="both"/>
        <w:rPr>
          <w:rFonts w:ascii="Work Sans" w:eastAsia="Calibri" w:hAnsi="Work Sans" w:cs="Arial"/>
          <w:i/>
          <w:iCs/>
          <w:sz w:val="24"/>
          <w:szCs w:val="24"/>
        </w:rPr>
      </w:pPr>
      <w:r w:rsidRPr="00493075">
        <w:rPr>
          <w:rFonts w:ascii="Work Sans" w:eastAsia="Calibri" w:hAnsi="Work Sans" w:cs="Arial"/>
          <w:sz w:val="24"/>
          <w:szCs w:val="24"/>
        </w:rPr>
        <w:t>(…)”</w:t>
      </w:r>
    </w:p>
    <w:p w14:paraId="51AF1235" w14:textId="77777777" w:rsidR="003A51E6" w:rsidRPr="003A51E6" w:rsidRDefault="003A51E6" w:rsidP="003A51E6">
      <w:pPr>
        <w:spacing w:line="240" w:lineRule="auto"/>
        <w:jc w:val="both"/>
        <w:rPr>
          <w:rFonts w:ascii="Work Sans" w:eastAsia="Calibri" w:hAnsi="Work Sans" w:cs="Arial"/>
          <w:sz w:val="24"/>
          <w:szCs w:val="24"/>
        </w:rPr>
      </w:pPr>
      <w:r w:rsidRPr="003A51E6">
        <w:rPr>
          <w:rFonts w:ascii="Work Sans" w:eastAsia="Calibri" w:hAnsi="Work Sans" w:cs="Arial"/>
          <w:sz w:val="24"/>
          <w:szCs w:val="24"/>
        </w:rPr>
        <w:t xml:space="preserve">En este sentido, y una vez surtido el proceso de revisión y aprobación del referido informe por parte del Ministerio de Minas y Energía, mediante Radicado MME No. 2-2026-009558 del 19 de marzo de 2026, se informa que se efectuó el correspondiente giro de recursos mediante Orden de Pago Presupuestal de Gastos – Comprobante No. 162110626, asociado a la obligación No. 63026, por </w:t>
      </w:r>
      <w:r w:rsidRPr="003A51E6">
        <w:rPr>
          <w:rFonts w:ascii="Work Sans" w:eastAsia="Calibri" w:hAnsi="Work Sans" w:cs="Arial"/>
          <w:sz w:val="24"/>
          <w:szCs w:val="24"/>
        </w:rPr>
        <w:lastRenderedPageBreak/>
        <w:t>valor de SETENTA Y TRES MIL NOVECIENTOS SIETE MILLONES NOVECIENTOS OCHENTA Y CINCO MIL SETENTA Y CUATRO PESOS M/CTE ($73.907.985.074), a la cuenta de ahorros No. 0309000200000652 del Banco Bilbao Vizcaya Argentaria Colombia S.A. – BBVA, con fecha del 07 de mayo de 2026.</w:t>
      </w:r>
    </w:p>
    <w:p w14:paraId="57415558" w14:textId="38426F43" w:rsidR="003A51E6" w:rsidRPr="000353FB" w:rsidRDefault="003A51E6" w:rsidP="000353FB">
      <w:pPr>
        <w:spacing w:line="240" w:lineRule="auto"/>
        <w:jc w:val="both"/>
        <w:rPr>
          <w:rFonts w:ascii="Work Sans" w:eastAsia="Calibri" w:hAnsi="Work Sans" w:cs="Arial"/>
          <w:sz w:val="24"/>
          <w:szCs w:val="24"/>
        </w:rPr>
      </w:pPr>
      <w:r w:rsidRPr="003A51E6">
        <w:rPr>
          <w:rFonts w:ascii="Work Sans" w:eastAsia="Calibri" w:hAnsi="Work Sans" w:cs="Arial"/>
          <w:sz w:val="24"/>
          <w:szCs w:val="24"/>
        </w:rPr>
        <w:t>Finalmente, agradecemos el compromiso institucional y la disposición de las entidades participantes para el desarrollo de esta iniciativa estratégica orientada al fortalecimiento de las Comunidades Energéticas Educativas</w:t>
      </w:r>
      <w:r w:rsidR="00237276">
        <w:rPr>
          <w:rFonts w:ascii="Work Sans" w:eastAsia="Calibri" w:hAnsi="Work Sans" w:cs="Arial"/>
          <w:sz w:val="24"/>
          <w:szCs w:val="24"/>
        </w:rPr>
        <w:t xml:space="preserve">. </w:t>
      </w:r>
    </w:p>
    <w:p w14:paraId="7F631C2F" w14:textId="55D8C399" w:rsidR="00484A5A" w:rsidRPr="00E406F8" w:rsidRDefault="00484A5A" w:rsidP="00E406F8">
      <w:pPr>
        <w:spacing w:line="240" w:lineRule="auto"/>
        <w:jc w:val="both"/>
        <w:rPr>
          <w:rFonts w:ascii="Work Sans" w:eastAsia="Work Sans" w:hAnsi="Work Sans" w:cs="Work Sans"/>
          <w:sz w:val="24"/>
          <w:szCs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CC0D" w14:textId="77777777" w:rsidR="00003269" w:rsidRDefault="00003269">
      <w:pPr>
        <w:spacing w:after="0" w:line="240" w:lineRule="auto"/>
      </w:pPr>
      <w:r>
        <w:separator/>
      </w:r>
    </w:p>
  </w:endnote>
  <w:endnote w:type="continuationSeparator" w:id="0">
    <w:p w14:paraId="6BDDA9E6" w14:textId="77777777" w:rsidR="00003269" w:rsidRDefault="00003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79CF" w14:textId="77777777" w:rsidR="00003269" w:rsidRDefault="00003269">
      <w:pPr>
        <w:spacing w:after="0" w:line="240" w:lineRule="auto"/>
      </w:pPr>
      <w:r>
        <w:separator/>
      </w:r>
    </w:p>
  </w:footnote>
  <w:footnote w:type="continuationSeparator" w:id="0">
    <w:p w14:paraId="6A242AB7" w14:textId="77777777" w:rsidR="00003269" w:rsidRDefault="000032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84631"/>
    <w:multiLevelType w:val="multilevel"/>
    <w:tmpl w:val="C4E6684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F738E5"/>
    <w:multiLevelType w:val="multilevel"/>
    <w:tmpl w:val="AAD6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9900F0"/>
    <w:multiLevelType w:val="hybridMultilevel"/>
    <w:tmpl w:val="79D8E7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4E6B90"/>
    <w:multiLevelType w:val="multilevel"/>
    <w:tmpl w:val="7F1A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A034B2"/>
    <w:multiLevelType w:val="multilevel"/>
    <w:tmpl w:val="81506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746E0"/>
    <w:multiLevelType w:val="hybridMultilevel"/>
    <w:tmpl w:val="94AC21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F83B95"/>
    <w:multiLevelType w:val="multilevel"/>
    <w:tmpl w:val="0864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7E4A24"/>
    <w:multiLevelType w:val="multilevel"/>
    <w:tmpl w:val="17CA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F205F5"/>
    <w:multiLevelType w:val="hybridMultilevel"/>
    <w:tmpl w:val="7A766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AE6149E"/>
    <w:multiLevelType w:val="hybridMultilevel"/>
    <w:tmpl w:val="6F9E7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EE14AB8"/>
    <w:multiLevelType w:val="multilevel"/>
    <w:tmpl w:val="D4E4A58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FD0831"/>
    <w:multiLevelType w:val="multilevel"/>
    <w:tmpl w:val="C116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C90310"/>
    <w:multiLevelType w:val="hybridMultilevel"/>
    <w:tmpl w:val="9AC61198"/>
    <w:lvl w:ilvl="0" w:tplc="514C4B36">
      <w:start w:val="1"/>
      <w:numFmt w:val="decimal"/>
      <w:lvlText w:val="%1."/>
      <w:lvlJc w:val="left"/>
      <w:pPr>
        <w:ind w:left="720" w:hanging="360"/>
      </w:pPr>
      <w:rPr>
        <w:b/>
        <w:bCs/>
      </w:rPr>
    </w:lvl>
    <w:lvl w:ilvl="1" w:tplc="96BAC616">
      <w:numFmt w:val="decimal"/>
      <w:lvlText w:val=""/>
      <w:lvlJc w:val="left"/>
    </w:lvl>
    <w:lvl w:ilvl="2" w:tplc="C66CB8D4">
      <w:numFmt w:val="decimal"/>
      <w:lvlText w:val=""/>
      <w:lvlJc w:val="left"/>
    </w:lvl>
    <w:lvl w:ilvl="3" w:tplc="2FAC2C66">
      <w:numFmt w:val="decimal"/>
      <w:lvlText w:val=""/>
      <w:lvlJc w:val="left"/>
    </w:lvl>
    <w:lvl w:ilvl="4" w:tplc="C5CE1628">
      <w:numFmt w:val="decimal"/>
      <w:lvlText w:val=""/>
      <w:lvlJc w:val="left"/>
    </w:lvl>
    <w:lvl w:ilvl="5" w:tplc="722A23E4">
      <w:numFmt w:val="decimal"/>
      <w:lvlText w:val=""/>
      <w:lvlJc w:val="left"/>
    </w:lvl>
    <w:lvl w:ilvl="6" w:tplc="5EAC8020">
      <w:numFmt w:val="decimal"/>
      <w:lvlText w:val=""/>
      <w:lvlJc w:val="left"/>
    </w:lvl>
    <w:lvl w:ilvl="7" w:tplc="BAF4B75E">
      <w:numFmt w:val="decimal"/>
      <w:lvlText w:val=""/>
      <w:lvlJc w:val="left"/>
    </w:lvl>
    <w:lvl w:ilvl="8" w:tplc="35FC7D1E">
      <w:numFmt w:val="decimal"/>
      <w:lvlText w:val=""/>
      <w:lvlJc w:val="left"/>
    </w:lvl>
  </w:abstractNum>
  <w:abstractNum w:abstractNumId="13" w15:restartNumberingAfterBreak="0">
    <w:nsid w:val="54307154"/>
    <w:multiLevelType w:val="multilevel"/>
    <w:tmpl w:val="1F52E1F6"/>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4" w15:restartNumberingAfterBreak="0">
    <w:nsid w:val="55E909E6"/>
    <w:multiLevelType w:val="multilevel"/>
    <w:tmpl w:val="D52A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7931ED"/>
    <w:multiLevelType w:val="hybridMultilevel"/>
    <w:tmpl w:val="5EF2F686"/>
    <w:lvl w:ilvl="0" w:tplc="39FCD6F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E673D36"/>
    <w:multiLevelType w:val="hybridMultilevel"/>
    <w:tmpl w:val="E924A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21E2F90"/>
    <w:multiLevelType w:val="multilevel"/>
    <w:tmpl w:val="A958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876535">
    <w:abstractNumId w:val="2"/>
  </w:num>
  <w:num w:numId="2" w16cid:durableId="448863821">
    <w:abstractNumId w:val="17"/>
  </w:num>
  <w:num w:numId="3" w16cid:durableId="264845316">
    <w:abstractNumId w:val="6"/>
  </w:num>
  <w:num w:numId="4" w16cid:durableId="499663792">
    <w:abstractNumId w:val="3"/>
  </w:num>
  <w:num w:numId="5" w16cid:durableId="1723288249">
    <w:abstractNumId w:val="16"/>
  </w:num>
  <w:num w:numId="6" w16cid:durableId="727992162">
    <w:abstractNumId w:val="9"/>
  </w:num>
  <w:num w:numId="7" w16cid:durableId="957680298">
    <w:abstractNumId w:val="8"/>
  </w:num>
  <w:num w:numId="8" w16cid:durableId="953556398">
    <w:abstractNumId w:val="1"/>
  </w:num>
  <w:num w:numId="9" w16cid:durableId="497580442">
    <w:abstractNumId w:val="14"/>
  </w:num>
  <w:num w:numId="10" w16cid:durableId="1038510061">
    <w:abstractNumId w:val="11"/>
  </w:num>
  <w:num w:numId="11" w16cid:durableId="1472020115">
    <w:abstractNumId w:val="4"/>
  </w:num>
  <w:num w:numId="12" w16cid:durableId="557519641">
    <w:abstractNumId w:val="10"/>
  </w:num>
  <w:num w:numId="13" w16cid:durableId="62145828">
    <w:abstractNumId w:val="13"/>
  </w:num>
  <w:num w:numId="14" w16cid:durableId="2022126776">
    <w:abstractNumId w:val="7"/>
  </w:num>
  <w:num w:numId="15" w16cid:durableId="69543478">
    <w:abstractNumId w:val="5"/>
  </w:num>
  <w:num w:numId="16" w16cid:durableId="1112436619">
    <w:abstractNumId w:val="15"/>
  </w:num>
  <w:num w:numId="17" w16cid:durableId="1765612103">
    <w:abstractNumId w:val="12"/>
    <w:lvlOverride w:ilvl="0">
      <w:startOverride w:val="1"/>
    </w:lvlOverride>
  </w:num>
  <w:num w:numId="18" w16cid:durableId="285355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3269"/>
    <w:rsid w:val="00012CF1"/>
    <w:rsid w:val="00015F90"/>
    <w:rsid w:val="00020D07"/>
    <w:rsid w:val="00023C61"/>
    <w:rsid w:val="00027169"/>
    <w:rsid w:val="000353FB"/>
    <w:rsid w:val="000418C8"/>
    <w:rsid w:val="0008116E"/>
    <w:rsid w:val="000C28D5"/>
    <w:rsid w:val="00136B78"/>
    <w:rsid w:val="00172254"/>
    <w:rsid w:val="001818F1"/>
    <w:rsid w:val="002273C6"/>
    <w:rsid w:val="00237276"/>
    <w:rsid w:val="002478C2"/>
    <w:rsid w:val="00262ACE"/>
    <w:rsid w:val="002A2C00"/>
    <w:rsid w:val="002C275A"/>
    <w:rsid w:val="003121A9"/>
    <w:rsid w:val="00320B91"/>
    <w:rsid w:val="0034493B"/>
    <w:rsid w:val="003A51E6"/>
    <w:rsid w:val="003B2B73"/>
    <w:rsid w:val="0042067A"/>
    <w:rsid w:val="00484458"/>
    <w:rsid w:val="00484A5A"/>
    <w:rsid w:val="00493075"/>
    <w:rsid w:val="00496E70"/>
    <w:rsid w:val="004B4971"/>
    <w:rsid w:val="005225C6"/>
    <w:rsid w:val="005617AA"/>
    <w:rsid w:val="005646C4"/>
    <w:rsid w:val="0058380C"/>
    <w:rsid w:val="005969C2"/>
    <w:rsid w:val="00597C52"/>
    <w:rsid w:val="005D534D"/>
    <w:rsid w:val="00604990"/>
    <w:rsid w:val="00640E5A"/>
    <w:rsid w:val="006B5291"/>
    <w:rsid w:val="006D2067"/>
    <w:rsid w:val="006E6E03"/>
    <w:rsid w:val="00703E5F"/>
    <w:rsid w:val="00771FB6"/>
    <w:rsid w:val="00773E54"/>
    <w:rsid w:val="00775B46"/>
    <w:rsid w:val="007A5A72"/>
    <w:rsid w:val="00825E65"/>
    <w:rsid w:val="00830730"/>
    <w:rsid w:val="008541AE"/>
    <w:rsid w:val="00892C0E"/>
    <w:rsid w:val="008B02BE"/>
    <w:rsid w:val="008D6B8E"/>
    <w:rsid w:val="008E4ABF"/>
    <w:rsid w:val="009359F1"/>
    <w:rsid w:val="00943E79"/>
    <w:rsid w:val="00981241"/>
    <w:rsid w:val="009E5228"/>
    <w:rsid w:val="00A3590E"/>
    <w:rsid w:val="00A86526"/>
    <w:rsid w:val="00A94959"/>
    <w:rsid w:val="00AD43C1"/>
    <w:rsid w:val="00B17160"/>
    <w:rsid w:val="00B4250F"/>
    <w:rsid w:val="00B51607"/>
    <w:rsid w:val="00B61F0F"/>
    <w:rsid w:val="00B65044"/>
    <w:rsid w:val="00B74DE2"/>
    <w:rsid w:val="00B96A8F"/>
    <w:rsid w:val="00BF6729"/>
    <w:rsid w:val="00C0455B"/>
    <w:rsid w:val="00CE41F6"/>
    <w:rsid w:val="00DC1590"/>
    <w:rsid w:val="00DC7B37"/>
    <w:rsid w:val="00DE1913"/>
    <w:rsid w:val="00E113E2"/>
    <w:rsid w:val="00E24C9D"/>
    <w:rsid w:val="00E37AC0"/>
    <w:rsid w:val="00E406F8"/>
    <w:rsid w:val="00E74009"/>
    <w:rsid w:val="00E823F2"/>
    <w:rsid w:val="00E95A3D"/>
    <w:rsid w:val="00EB3862"/>
    <w:rsid w:val="00F80A1F"/>
    <w:rsid w:val="00F832C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B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qFormat/>
    <w:rsid w:val="005969C2"/>
    <w:pPr>
      <w:suppressAutoHyphens w:val="0"/>
      <w:spacing w:after="160" w:line="259" w:lineRule="auto"/>
      <w:ind w:left="720"/>
      <w:contextualSpacing/>
    </w:pPr>
    <w:rPr>
      <w:kern w:val="2"/>
      <w14:ligatures w14:val="standardContextual"/>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969C2"/>
    <w:rPr>
      <w:kern w:val="2"/>
      <w14:ligatures w14:val="standardContextual"/>
    </w:rPr>
  </w:style>
  <w:style w:type="paragraph" w:styleId="Sinespaciado">
    <w:name w:val="No Spacing"/>
    <w:uiPriority w:val="1"/>
    <w:qFormat/>
    <w:rsid w:val="005969C2"/>
  </w:style>
  <w:style w:type="character" w:styleId="Hipervnculo">
    <w:name w:val="Hyperlink"/>
    <w:rsid w:val="002A2C00"/>
    <w:rPr>
      <w:color w:val="0000FF"/>
      <w:u w:val="single"/>
    </w:rPr>
  </w:style>
  <w:style w:type="paragraph" w:styleId="Textonotapie">
    <w:name w:val="footnote text"/>
    <w:basedOn w:val="Normal"/>
    <w:link w:val="TextonotapieCar"/>
    <w:uiPriority w:val="99"/>
    <w:semiHidden/>
    <w:unhideWhenUsed/>
    <w:rsid w:val="002A2C00"/>
    <w:pPr>
      <w:suppressAutoHyphens w:val="0"/>
      <w:autoSpaceDE w:val="0"/>
      <w:autoSpaceDN w:val="0"/>
      <w:spacing w:after="0" w:line="240" w:lineRule="auto"/>
    </w:pPr>
    <w:rPr>
      <w:rFonts w:ascii="Times New Roman" w:eastAsia="Times New Roman" w:hAnsi="Times New Roman" w:cs="Times New Roman"/>
      <w:sz w:val="20"/>
      <w:szCs w:val="20"/>
      <w:lang w:val="es-ES_tradnl" w:eastAsia="es-MX"/>
    </w:rPr>
  </w:style>
  <w:style w:type="character" w:customStyle="1" w:styleId="TextonotapieCar">
    <w:name w:val="Texto nota pie Car"/>
    <w:basedOn w:val="Fuentedeprrafopredeter"/>
    <w:link w:val="Textonotapie"/>
    <w:uiPriority w:val="99"/>
    <w:semiHidden/>
    <w:rsid w:val="002A2C00"/>
    <w:rPr>
      <w:rFonts w:ascii="Times New Roman" w:eastAsia="Times New Roman" w:hAnsi="Times New Roman" w:cs="Times New Roman"/>
      <w:sz w:val="20"/>
      <w:szCs w:val="20"/>
      <w:lang w:val="es-ES_tradnl" w:eastAsia="es-MX"/>
    </w:rPr>
  </w:style>
  <w:style w:type="character" w:styleId="Refdenotaalpie">
    <w:name w:val="footnote reference"/>
    <w:basedOn w:val="Fuentedeprrafopredeter"/>
    <w:uiPriority w:val="99"/>
    <w:semiHidden/>
    <w:unhideWhenUsed/>
    <w:rsid w:val="002A2C00"/>
    <w:rPr>
      <w:vertAlign w:val="superscript"/>
    </w:rPr>
  </w:style>
  <w:style w:type="paragraph" w:customStyle="1" w:styleId="paragraph">
    <w:name w:val="paragraph"/>
    <w:basedOn w:val="Normal"/>
    <w:rsid w:val="00771FB6"/>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39"/>
    <w:rsid w:val="00771FB6"/>
    <w:pPr>
      <w:suppressAutoHyphens w:val="0"/>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642</Words>
  <Characters>3531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AGREDA BOTINA</cp:lastModifiedBy>
  <cp:revision>8</cp:revision>
  <dcterms:created xsi:type="dcterms:W3CDTF">2026-05-15T18:34:00Z</dcterms:created>
  <dcterms:modified xsi:type="dcterms:W3CDTF">2026-05-15T19:52:00Z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